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pStyle w:val="8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7"/>
        <w:jc w:val="both"/>
        <w:rPr>
          <w:rFonts w:ascii="Times New Roman" w:hAnsi="Times New Roman" w:eastAsia="Roboto" w:cs="Times New Roman"/>
          <w:color w:val="000000"/>
          <w:sz w:val="28"/>
          <w:szCs w:val="28"/>
        </w:rPr>
      </w:pP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б утверждении Положения о порядке принятия гражданами Российско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й Федерации, являющимися членами казачьих обществ, обязательств                           по несению государственной и иной службы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Еврейской автономной области, заключения органами исполнительной власти, формируемыми правительством Еврейской атвономной области и органами местного самоуправления д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оговоров (соглашений) с </w:t>
      </w:r>
      <w:r>
        <w:rPr>
          <w:rFonts w:ascii="Times New Roman" w:hAnsi="Times New Roman" w:cs="Times New Roman"/>
          <w:sz w:val="28"/>
          <w:szCs w:val="28"/>
        </w:rPr>
        <w:t xml:space="preserve">хуторскими, станичными, городскими казачьими обществ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ами, а также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 финансирования Службы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Средне-Амурского окружного казачьего общества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Еврейской автономной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/>
    </w:p>
    <w:p>
      <w:pPr>
        <w:pStyle w:val="877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/>
    </w:p>
    <w:p>
      <w:pPr>
        <w:pStyle w:val="877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/>
    </w:p>
    <w:p>
      <w:pPr>
        <w:pStyle w:val="877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 соответствии с Федеральным законом от 05.12.2005 № 154-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ФЗ </w:t>
        <w:br/>
        <w:t xml:space="preserve">«О государственной службе российского казачества», Указом Президента Российской Федерации от 07.10.2009 № 1124 «Об утверждении Положения о порядке принятия гражданами Российской Федерации, являющимися членами казачьих обществ, обяза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тельств по несению государственной или иной службы»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, постановлениями Правительства Российской Федерации</w:t>
        <w:br/>
        <w:t xml:space="preserve">от 08.10.2009 № 806 «О порядке привлечения членов казачьих обществ к несению государственной или иной службы и порядке заключ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ения федеральными органами исполнительной власти и (или) их территориальными органами договоров (соглашений) с казачьими обществами», от 26.02.2010 № 93 «О видах государственной и или иной службы, к которой привлекаются члены хуторских, станичных, городски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х, районных (юртовых), окружных (отдельских) и войсковых казачьих обществ»:</w:t>
      </w:r>
      <w:r/>
    </w:p>
    <w:p>
      <w:pPr>
        <w:pStyle w:val="877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1. Утвердить:</w:t>
      </w:r>
      <w:r/>
    </w:p>
    <w:p>
      <w:pPr>
        <w:pStyle w:val="877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- положение о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порядке принятия гражданами Российской Федерации, являющимися членами казачьих обществ, обязательств по несению государственной и иной служб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ы (</w:t>
      </w:r>
      <w:r>
        <w:rPr>
          <w:rFonts w:ascii="Times New Roman" w:hAnsi="Times New Roman" w:cs="Times New Roman"/>
          <w:sz w:val="28"/>
          <w:szCs w:val="28"/>
        </w:rPr>
        <w:t xml:space="preserve">далее – Службы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) Еврейской автономной области, заключения органами исполнительной власти, формируемыми правительством Еврейской автономной области (далее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/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</w:rPr>
        <w:t xml:space="preserve">органами исполнительной власти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) и органами местного самоуправления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  <w:lang w:val="ru-RU"/>
        </w:rPr>
        <w:t xml:space="preserve">муниципальнвх образований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Еврейской автономной области</w:t>
      </w:r>
      <w:r/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  <w:lang w:val="ru-RU"/>
        </w:rPr>
        <w:t xml:space="preserve"> (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органами местного самоуправления</w:t>
      </w:r>
      <w:r/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  <w:lang w:val="ru-RU"/>
        </w:rPr>
        <w:t xml:space="preserve">)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договоров (соглашений) с </w:t>
      </w:r>
      <w:r>
        <w:rPr>
          <w:rFonts w:ascii="Times New Roman" w:hAnsi="Times New Roman" w:cs="Times New Roman"/>
          <w:sz w:val="28"/>
          <w:szCs w:val="28"/>
        </w:rPr>
        <w:t xml:space="preserve">хуторскими, станичными, городскими казачьими обществ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ами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и финансирования Службы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Амурского окружно</w:t>
      </w:r>
      <w:r>
        <w:rPr>
          <w:rFonts w:ascii="Times New Roman" w:hAnsi="Times New Roman" w:cs="Times New Roman"/>
          <w:sz w:val="28"/>
          <w:szCs w:val="28"/>
        </w:rPr>
        <w:t xml:space="preserve">го казачьего общества (далее – САОКО)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Еврейской автономной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; </w:t>
      </w:r>
      <w:r/>
    </w:p>
    <w:p>
      <w:pPr>
        <w:pStyle w:val="87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Финансирование ра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сходов, связанных с реализацией договоров (соглашений) с </w:t>
      </w:r>
      <w:r>
        <w:rPr>
          <w:rFonts w:ascii="Times New Roman" w:hAnsi="Times New Roman" w:cs="Times New Roman"/>
          <w:sz w:val="28"/>
          <w:szCs w:val="28"/>
        </w:rPr>
        <w:t xml:space="preserve">членами хуторских, станичных, городских казачьих обществ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, осуществляется в установленном порядке в пределах средств областного и (или) муниципального бюджета, предусмотренных соответствующим органам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исполнительной власти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и органам местного самоуправления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на обеспечение их деятельности.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/>
    </w:p>
    <w:p>
      <w:pPr>
        <w:pStyle w:val="87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его подписания.</w:t>
      </w:r>
      <w:r/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/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Губернатор области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Р.Э. Гольдштейн</w:t>
      </w:r>
      <w:r/>
    </w:p>
    <w:p>
      <w:pPr>
        <w:pStyle w:val="877"/>
        <w:jc w:val="center"/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</w:r>
      <w:r/>
    </w:p>
    <w:p>
      <w:pPr>
        <w:pStyle w:val="877"/>
        <w:jc w:val="center"/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</w:r>
      <w:r/>
    </w:p>
    <w:p>
      <w:pPr>
        <w:contextualSpacing/>
        <w:ind w:left="5954"/>
        <w:spacing w:line="240" w:lineRule="auto"/>
        <w:tabs>
          <w:tab w:val="left" w:pos="4819" w:leader="none"/>
          <w:tab w:val="left" w:pos="59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  <w:r/>
    </w:p>
    <w:p>
      <w:pPr>
        <w:contextualSpacing/>
        <w:ind w:left="5954"/>
        <w:jc w:val="both"/>
        <w:spacing w:line="240" w:lineRule="auto"/>
        <w:tabs>
          <w:tab w:val="left" w:pos="4819" w:leader="none"/>
          <w:tab w:val="left" w:pos="59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5954"/>
        <w:jc w:val="both"/>
        <w:spacing w:line="240" w:lineRule="auto"/>
        <w:tabs>
          <w:tab w:val="left" w:pos="4819" w:leader="none"/>
          <w:tab w:val="left" w:pos="59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губернатора  Еврейской автономной области</w:t>
      </w:r>
      <w:r/>
    </w:p>
    <w:p>
      <w:pPr>
        <w:contextualSpacing/>
        <w:ind w:left="5954"/>
        <w:jc w:val="both"/>
        <w:tabs>
          <w:tab w:val="left" w:pos="5954" w:leader="none"/>
        </w:tabs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 № _______</w:t>
      </w:r>
      <w:r/>
    </w:p>
    <w:p>
      <w:pPr>
        <w:pStyle w:val="877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/>
    </w:p>
    <w:p>
      <w:pPr>
        <w:pStyle w:val="877"/>
        <w:jc w:val="center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ПОЛОЖЕНИЕ</w:t>
      </w:r>
      <w:r/>
    </w:p>
    <w:p>
      <w:pPr>
        <w:pStyle w:val="87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о порядке принятия гражданами Российской Федерации, являющимися членами казачьих обществ, обязательств по несению государственной и иной службы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Еврей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ской автономной области, заключения органами исполнительной власти, формируемыми правительством Еврейской автономной обалсти и органами местного самоуправления договоров (соглашений) с </w:t>
      </w:r>
      <w:r>
        <w:rPr>
          <w:rFonts w:ascii="Times New Roman" w:hAnsi="Times New Roman" w:cs="Times New Roman"/>
          <w:sz w:val="28"/>
          <w:szCs w:val="28"/>
        </w:rPr>
        <w:t xml:space="preserve">хуторскими, станичными, городскими казачьими обществ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ами, а также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финансирования Службы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Средне-Амурского окружного казачьего общества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Еврейской автономной области</w:t>
      </w:r>
      <w:r/>
    </w:p>
    <w:p>
      <w:pPr>
        <w:pStyle w:val="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7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1. Настоящее Положение определяет порядок принятия членами хуторских, станичных, городских казачьих обществ Еврейской автономной области (далее – казачьи общества) обязательств по несению государственной или иной службы (далее – служба), а также порядок за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ключения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органами исполнительной власти, формируемыми правительством Еврейской автономной области (далее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</w:rPr>
        <w:t xml:space="preserve">органами исполнительной власти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) и органами местного самоуправления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  <w:lang w:val="ru-RU"/>
        </w:rPr>
        <w:t xml:space="preserve">муниципальнвх образований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Еврейской автономной области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  <w:lang w:val="ru-RU"/>
        </w:rPr>
        <w:t xml:space="preserve"> (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органами местного самоуправления</w:t>
      </w:r>
      <w:r/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договоров (соглашений) с казачьими обществами Еврейской автономной области 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white"/>
        </w:rPr>
        <w:t xml:space="preserve">(далее</w:t>
      </w:r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договоры)</w:t>
      </w:r>
      <w:r/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/>
    </w:p>
    <w:p>
      <w:pPr>
        <w:pStyle w:val="877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казачьих обществах, 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Средне-Амурского окружного казачьего общества (далее – САОКО)</w:t>
      </w:r>
      <w:r>
        <w:rPr>
          <w:rFonts w:ascii="Times New Roman" w:hAnsi="Times New Roman" w:cs="Times New Roman"/>
          <w:sz w:val="28"/>
          <w:szCs w:val="28"/>
        </w:rPr>
        <w:t xml:space="preserve">, включенного в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ный реестр казачьих обществ в Российской Федерации, работа по принятию обязательств по несению службы организуется атаманом САОКО совместно с атаманами хуторских, станичных, городских казачьих обществ, действующих на территории Еврейской автономной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/>
    </w:p>
    <w:p>
      <w:pPr>
        <w:pStyle w:val="87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Члены хуторского, станичного, городского казачьего общества представляют в письменной форме заявления о принятии обязательств по несению службы на имя атамана соответствующего казачьего общества. Атаман казачьего общества представляет указанные заявле</w:t>
      </w:r>
      <w:r>
        <w:rPr>
          <w:rFonts w:ascii="Times New Roman" w:hAnsi="Times New Roman" w:cs="Times New Roman"/>
          <w:sz w:val="28"/>
          <w:szCs w:val="28"/>
        </w:rPr>
        <w:t xml:space="preserve">ния на рассмотрение высшего представительного органа хуторского, станичного, городского казачьего общества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круг казачьего общества).</w:t>
      </w:r>
      <w:r/>
    </w:p>
    <w:p>
      <w:pPr>
        <w:pStyle w:val="877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Круг казачьего общества на основании письменных заявлений членов казачьего общества принимает решение о приняти</w:t>
      </w:r>
      <w:r>
        <w:rPr>
          <w:rFonts w:ascii="Times New Roman" w:hAnsi="Times New Roman" w:cs="Times New Roman"/>
          <w:sz w:val="28"/>
          <w:szCs w:val="28"/>
        </w:rPr>
        <w:t xml:space="preserve">и ими обязательств по несению службы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/>
    </w:p>
    <w:p>
      <w:pPr>
        <w:pStyle w:val="87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Решение круга казачьего общества оформляется в письменной форме и подписывается атаманом казачьего общества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/>
    </w:p>
    <w:p>
      <w:pPr>
        <w:pStyle w:val="87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членов казачьего общества, заявления которых о принятии обязательств по несению службы утве</w:t>
      </w:r>
      <w:r>
        <w:rPr>
          <w:rFonts w:ascii="Times New Roman" w:hAnsi="Times New Roman" w:cs="Times New Roman"/>
          <w:sz w:val="28"/>
          <w:szCs w:val="28"/>
        </w:rPr>
        <w:t xml:space="preserve">рждены кругом казачьего общества, фиксируется в решении этого круга.</w:t>
      </w:r>
      <w:r/>
    </w:p>
    <w:p>
      <w:pPr>
        <w:pStyle w:val="877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Решение круга хуторского, станичного или городского казачьего общества, входящего непосредственно в состав САОКО, согласовываются с атаманом САОКО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/>
    </w:p>
    <w:p>
      <w:pPr>
        <w:pStyle w:val="87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круга САОКО, входящего в с</w:t>
      </w:r>
      <w:r>
        <w:rPr>
          <w:rFonts w:ascii="Times New Roman" w:hAnsi="Times New Roman" w:cs="Times New Roman"/>
          <w:sz w:val="28"/>
          <w:szCs w:val="28"/>
        </w:rPr>
        <w:t xml:space="preserve">остав войскового казачьего общества, согласовывается с атаманом войскового казачьего общества.</w:t>
      </w:r>
      <w:r/>
    </w:p>
    <w:p>
      <w:pPr>
        <w:pStyle w:val="87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круга хуторских, станичных, городских казачьих обществ, действующих на территории Еврейской автономной области, до их вхождения в состав САОКО, согласу</w:t>
      </w:r>
      <w:r>
        <w:rPr>
          <w:rFonts w:ascii="Times New Roman" w:hAnsi="Times New Roman" w:cs="Times New Roman"/>
          <w:sz w:val="28"/>
          <w:szCs w:val="28"/>
        </w:rPr>
        <w:t xml:space="preserve">ется с атаманами соответствующих хуторских, станичных, городских казачьих обществ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/>
    </w:p>
    <w:p>
      <w:pPr>
        <w:pStyle w:val="87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Атаман САОКО не позднее тридцати дней в письменной форме уведомляет атамана </w:t>
      </w:r>
      <w:r>
        <w:rPr>
          <w:rFonts w:ascii="Times New Roman" w:hAnsi="Times New Roman" w:cs="Times New Roman"/>
          <w:sz w:val="28"/>
          <w:szCs w:val="28"/>
        </w:rPr>
        <w:t xml:space="preserve">Уссурийского в</w:t>
      </w:r>
      <w:r>
        <w:rPr>
          <w:rFonts w:ascii="Times New Roman" w:hAnsi="Times New Roman" w:cs="Times New Roman"/>
          <w:sz w:val="28"/>
          <w:szCs w:val="28"/>
        </w:rPr>
        <w:t xml:space="preserve">ойскового казачьего общества </w:t>
      </w:r>
      <w:r>
        <w:rPr>
          <w:rFonts w:ascii="Times New Roman" w:hAnsi="Times New Roman" w:cs="Times New Roman"/>
          <w:sz w:val="28"/>
          <w:szCs w:val="28"/>
        </w:rPr>
        <w:t xml:space="preserve">о согласовании решения круга нижест</w:t>
      </w:r>
      <w:r>
        <w:rPr>
          <w:rFonts w:ascii="Times New Roman" w:hAnsi="Times New Roman" w:cs="Times New Roman"/>
          <w:sz w:val="28"/>
          <w:szCs w:val="28"/>
        </w:rPr>
        <w:t xml:space="preserve">оящего казачьего общества о принятии членами этого казачьего общества обязательств по несению службы.</w:t>
      </w:r>
      <w:r/>
    </w:p>
    <w:p>
      <w:pPr>
        <w:pStyle w:val="877"/>
        <w:ind w:firstLine="709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9. Прохождение членами казачьего общества военной службы осуществляется по призыву и в добровольном порядке (по контракту) в соответствии с законодательст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вом Российской Федерации.</w:t>
      </w:r>
      <w:r/>
    </w:p>
    <w:p>
      <w:pPr>
        <w:pStyle w:val="87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принятых членами казачьего общества обязательств по несению службы осуществляется в соответствии с приказом Федерального агентства по делам национальностей от 23.11.2015 № 89 «Об утверждении Порядка согласования п</w:t>
      </w:r>
      <w:r>
        <w:rPr>
          <w:rFonts w:ascii="Times New Roman" w:hAnsi="Times New Roman" w:cs="Times New Roman"/>
          <w:sz w:val="28"/>
          <w:szCs w:val="28"/>
        </w:rPr>
        <w:t xml:space="preserve">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самоуправления».</w:t>
      </w:r>
      <w:r/>
    </w:p>
    <w:p>
      <w:pPr>
        <w:pStyle w:val="87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11. Оказание членами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казачьего общества содействия органам исполнительной власти или органам местного самоуправления в выполнении установленных задач и функций осуществляется на основании заполнения  типовой формы договоров (соглашений),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приказом Федерального агентства по делам национальностей от 23.11.2015 № 89 </w:t>
        <w:br/>
        <w:t xml:space="preserve">«Об утверждении Порядка согласования п</w:t>
      </w:r>
      <w:r>
        <w:rPr>
          <w:rFonts w:ascii="Times New Roman" w:hAnsi="Times New Roman" w:cs="Times New Roman"/>
          <w:sz w:val="28"/>
          <w:szCs w:val="28"/>
        </w:rPr>
        <w:t xml:space="preserve">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12. САОКО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подписаные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документы</w:t>
      </w:r>
      <w:r>
        <w:rPr>
          <w:rFonts w:ascii="Times New Roman" w:hAnsi="Times New Roman" w:cs="Times New Roman"/>
          <w:sz w:val="28"/>
          <w:szCs w:val="28"/>
        </w:rPr>
        <w:t xml:space="preserve"> в правительство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для согласования</w:t>
      </w:r>
      <w:r/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Принятые членами казачьего общества обязательства по несению службы, согласованные с правительством Еврейской автономной области, отражаются в уставе казачьего общест</w:t>
      </w:r>
      <w:r>
        <w:rPr>
          <w:rFonts w:ascii="Times New Roman" w:hAnsi="Times New Roman" w:cs="Times New Roman"/>
          <w:sz w:val="28"/>
          <w:szCs w:val="28"/>
        </w:rPr>
        <w:t xml:space="preserve">ва.</w:t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14. Внесение изменений в устав казачьего общества осуществляется в порядке, установленном законодательством Российской Федерации.</w:t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15. Финансирование расходов, связанных с несением службы членами казачьих обществ Еврейской автономной области,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в соответствии с требованиями действующего законодательства на основании договоров (соглашений), заключенных заинтересованными органами исполнительной власти и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с казачьими обществами, о привлечении членов казачьих обществ к службе</w:t>
      </w:r>
      <w:r>
        <w:rPr>
          <w:rFonts w:ascii="Times New Roman" w:hAnsi="Times New Roman" w:cs="Times New Roman"/>
          <w:sz w:val="28"/>
          <w:szCs w:val="28"/>
        </w:rPr>
        <w:t xml:space="preserve"> при условии, что казачье общество внесено в государственный реестр казачьих обществ в Российской Федерации.</w:t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16. Условия финансирования расходов, связанных с выполнением членами казачьих обществ установленных задач и функций по несению службы, являются нео</w:t>
      </w:r>
      <w:r>
        <w:rPr>
          <w:rFonts w:ascii="Times New Roman" w:hAnsi="Times New Roman" w:cs="Times New Roman"/>
          <w:sz w:val="28"/>
          <w:szCs w:val="28"/>
        </w:rPr>
        <w:t xml:space="preserve">тъемлемой частью каждого договора (соглашения).</w:t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17. Финансирование расходов органов исполнительной власти и органов местного самоуправления, предусмотренных договором (соглашением), осуществляется в установленном законодательством порядке и в пределах бюджетных ассигн</w:t>
      </w:r>
      <w:r>
        <w:rPr>
          <w:rFonts w:ascii="Times New Roman" w:hAnsi="Times New Roman" w:cs="Times New Roman"/>
          <w:sz w:val="28"/>
          <w:szCs w:val="28"/>
        </w:rPr>
        <w:t xml:space="preserve">ований, утвержденных законом Еврейской автономной области на соответствующий финансовой год и на плановый период.</w:t>
      </w:r>
      <w:r/>
    </w:p>
    <w:p>
      <w:r/>
      <w:r/>
    </w:p>
    <w:sectPr>
      <w:footnotePr/>
      <w:endnotePr/>
      <w:type w:val="nextPage"/>
      <w:pgSz w:w="11906" w:h="16838" w:orient="portrait"/>
      <w:pgMar w:top="954" w:right="850" w:bottom="964" w:left="1701" w:header="284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jc w:val="center"/>
      <w:rPr>
        <w:rFonts w:ascii="Times New Roman" w:hAnsi="Times New Roman" w:cs="Times New Roman"/>
        <w:sz w:val="24"/>
        <w:szCs w:val="24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cs="Times New Roman"/>
        <w:sz w:val="24"/>
        <w:szCs w:val="24"/>
      </w:rPr>
      <w:t xml:space="preserve">1</w:t>
    </w:r>
    <w:r>
      <w:rPr>
        <w:rFonts w:ascii="Times New Roman" w:hAnsi="Times New Roman" w:cs="Times New Roman"/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</w:style>
  <w:style w:type="paragraph" w:styleId="681">
    <w:name w:val="Heading 1"/>
    <w:basedOn w:val="680"/>
    <w:next w:val="680"/>
    <w:link w:val="71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71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71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1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next w:val="680"/>
    <w:link w:val="71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7">
    <w:name w:val="Heading 7"/>
    <w:basedOn w:val="680"/>
    <w:next w:val="680"/>
    <w:link w:val="71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8">
    <w:name w:val="Heading 8"/>
    <w:basedOn w:val="680"/>
    <w:next w:val="680"/>
    <w:link w:val="71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9">
    <w:name w:val="Heading 9"/>
    <w:basedOn w:val="680"/>
    <w:next w:val="680"/>
    <w:link w:val="71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basedOn w:val="690"/>
    <w:uiPriority w:val="10"/>
    <w:rPr>
      <w:sz w:val="48"/>
      <w:szCs w:val="48"/>
    </w:rPr>
  </w:style>
  <w:style w:type="character" w:styleId="703" w:customStyle="1">
    <w:name w:val="Subtitle Char"/>
    <w:basedOn w:val="690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Header Char"/>
    <w:basedOn w:val="690"/>
    <w:uiPriority w:val="99"/>
  </w:style>
  <w:style w:type="character" w:styleId="707" w:customStyle="1">
    <w:name w:val="Caption Char"/>
    <w:uiPriority w:val="99"/>
  </w:style>
  <w:style w:type="character" w:styleId="708" w:customStyle="1">
    <w:name w:val="Footnote Text Char"/>
    <w:uiPriority w:val="99"/>
    <w:rPr>
      <w:sz w:val="18"/>
    </w:rPr>
  </w:style>
  <w:style w:type="character" w:styleId="709" w:customStyle="1">
    <w:name w:val="Endnote Text Char"/>
    <w:uiPriority w:val="99"/>
    <w:rPr>
      <w:sz w:val="20"/>
    </w:rPr>
  </w:style>
  <w:style w:type="character" w:styleId="710" w:customStyle="1">
    <w:name w:val="Заголовок 1 Знак"/>
    <w:link w:val="681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82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683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680"/>
    <w:next w:val="680"/>
    <w:link w:val="720"/>
    <w:uiPriority w:val="10"/>
    <w:qFormat/>
    <w:pPr>
      <w:contextualSpacing/>
      <w:spacing w:before="300"/>
    </w:pPr>
    <w:rPr>
      <w:sz w:val="48"/>
      <w:szCs w:val="48"/>
    </w:rPr>
  </w:style>
  <w:style w:type="character" w:styleId="720" w:customStyle="1">
    <w:name w:val="Заголовок Знак"/>
    <w:link w:val="719"/>
    <w:uiPriority w:val="10"/>
    <w:rPr>
      <w:sz w:val="48"/>
      <w:szCs w:val="48"/>
    </w:rPr>
  </w:style>
  <w:style w:type="paragraph" w:styleId="721">
    <w:name w:val="Subtitle"/>
    <w:basedOn w:val="680"/>
    <w:next w:val="680"/>
    <w:link w:val="722"/>
    <w:uiPriority w:val="11"/>
    <w:qFormat/>
    <w:pPr>
      <w:spacing w:before="200"/>
    </w:pPr>
    <w:rPr>
      <w:sz w:val="24"/>
      <w:szCs w:val="24"/>
    </w:rPr>
  </w:style>
  <w:style w:type="character" w:styleId="722" w:customStyle="1">
    <w:name w:val="Подзаголовок Знак"/>
    <w:link w:val="721"/>
    <w:uiPriority w:val="11"/>
    <w:rPr>
      <w:sz w:val="24"/>
      <w:szCs w:val="24"/>
    </w:rPr>
  </w:style>
  <w:style w:type="paragraph" w:styleId="723">
    <w:name w:val="Quote"/>
    <w:basedOn w:val="680"/>
    <w:next w:val="680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80"/>
    <w:next w:val="680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paragraph" w:styleId="727">
    <w:name w:val="Header"/>
    <w:basedOn w:val="680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 w:customStyle="1">
    <w:name w:val="Верхний колонтитул Знак"/>
    <w:link w:val="727"/>
    <w:uiPriority w:val="99"/>
  </w:style>
  <w:style w:type="paragraph" w:styleId="729">
    <w:name w:val="Footer"/>
    <w:basedOn w:val="680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 w:customStyle="1">
    <w:name w:val="Footer Char"/>
    <w:uiPriority w:val="99"/>
  </w:style>
  <w:style w:type="paragraph" w:styleId="731">
    <w:name w:val="Caption"/>
    <w:basedOn w:val="680"/>
    <w:next w:val="68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32" w:customStyle="1">
    <w:name w:val="Нижний колонтитул Знак"/>
    <w:link w:val="729"/>
    <w:uiPriority w:val="99"/>
  </w:style>
  <w:style w:type="table" w:styleId="733">
    <w:name w:val="Table Grid"/>
    <w:basedOn w:val="69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4" w:customStyle="1">
    <w:name w:val="Table Grid Light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5">
    <w:name w:val="Plain Table 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3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4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5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6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7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8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5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7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8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9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0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6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7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8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9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0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1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4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5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6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7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8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563c1" w:themeColor="hyperlink"/>
      <w:u w:val="single"/>
    </w:rPr>
  </w:style>
  <w:style w:type="paragraph" w:styleId="860">
    <w:name w:val="footnote text"/>
    <w:basedOn w:val="680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uiPriority w:val="99"/>
    <w:unhideWhenUsed/>
    <w:rPr>
      <w:vertAlign w:val="superscript"/>
    </w:rPr>
  </w:style>
  <w:style w:type="paragraph" w:styleId="863">
    <w:name w:val="endnote text"/>
    <w:basedOn w:val="680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uiPriority w:val="99"/>
    <w:semiHidden/>
    <w:unhideWhenUsed/>
    <w:rPr>
      <w:vertAlign w:val="superscript"/>
    </w:rPr>
  </w:style>
  <w:style w:type="paragraph" w:styleId="866">
    <w:name w:val="toc 1"/>
    <w:basedOn w:val="680"/>
    <w:next w:val="680"/>
    <w:uiPriority w:val="39"/>
    <w:unhideWhenUsed/>
    <w:pPr>
      <w:spacing w:after="57"/>
    </w:pPr>
  </w:style>
  <w:style w:type="paragraph" w:styleId="867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68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69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70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71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72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73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74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680"/>
    <w:next w:val="680"/>
    <w:uiPriority w:val="99"/>
    <w:unhideWhenUsed/>
    <w:pPr>
      <w:spacing w:after="0"/>
    </w:pPr>
  </w:style>
  <w:style w:type="paragraph" w:styleId="877">
    <w:name w:val="No Spacing"/>
    <w:basedOn w:val="680"/>
    <w:uiPriority w:val="1"/>
    <w:qFormat/>
    <w:pPr>
      <w:spacing w:after="0" w:line="240" w:lineRule="auto"/>
    </w:pPr>
  </w:style>
  <w:style w:type="paragraph" w:styleId="878">
    <w:name w:val="List Paragraph"/>
    <w:basedOn w:val="680"/>
    <w:uiPriority w:val="34"/>
    <w:qFormat/>
    <w:pPr>
      <w:contextualSpacing/>
      <w:ind w:left="720"/>
    </w:pPr>
  </w:style>
  <w:style w:type="paragraph" w:styleId="879" w:customStyle="1">
    <w:name w:val="Стиль"/>
    <w:pPr>
      <w:ind w:firstLine="720"/>
      <w:jc w:val="both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880" w:customStyle="1">
    <w:name w:val="ConsPlusNormal"/>
    <w:pPr>
      <w:ind w:firstLine="720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881" w:customStyle="1">
    <w:name w:val="ConsPlusTitle"/>
    <w:uiPriority w:val="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82" w:customStyle="1">
    <w:name w:val="ConsPlusNonformat"/>
    <w:uiPriority w:val="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created xsi:type="dcterms:W3CDTF">2023-04-04T22:57:00Z</dcterms:created>
  <dcterms:modified xsi:type="dcterms:W3CDTF">2023-06-02T05:09:27Z</dcterms:modified>
</cp:coreProperties>
</file>